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E3" w:rsidRDefault="002712E3" w:rsidP="002712E3">
      <w:pPr>
        <w:jc w:val="center"/>
        <w:rPr>
          <w:rFonts w:ascii="Broadway" w:hAnsi="Broadway"/>
          <w:color w:val="548DD4" w:themeColor="text2" w:themeTint="99"/>
          <w:sz w:val="36"/>
          <w:szCs w:val="36"/>
        </w:rPr>
      </w:pPr>
      <w:r w:rsidRPr="002712E3">
        <w:rPr>
          <w:rFonts w:ascii="Broadway" w:hAnsi="Broadway"/>
          <w:noProof/>
          <w:color w:val="548DD4" w:themeColor="text2" w:themeTint="99"/>
          <w:sz w:val="36"/>
          <w:szCs w:val="36"/>
        </w:rPr>
        <w:drawing>
          <wp:inline distT="0" distB="0" distL="0" distR="0">
            <wp:extent cx="832485" cy="756138"/>
            <wp:effectExtent l="19050" t="0" r="5715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10645" cy="1152137"/>
                      <a:chOff x="3759531" y="3191263"/>
                      <a:chExt cx="1110645" cy="1152137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3759531" y="3191263"/>
                        <a:ext cx="1110645" cy="1152137"/>
                        <a:chOff x="6021609" y="4038600"/>
                        <a:chExt cx="1216421" cy="1296154"/>
                      </a:xfrm>
                    </a:grpSpPr>
                    <a:pic>
                      <a:nvPicPr>
                        <a:cNvPr id="1026" name="Picture 2" descr="E:\webpage builder\logo_flat_transp.pn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96000" y="4103132"/>
                          <a:ext cx="1079500" cy="10556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6096000" y="4038600"/>
                          <a:ext cx="1066800" cy="8382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square" numCol="1" rtlCol="0" anchor="ctr">
                            <a:prstTxWarp prst="textArchUp">
                              <a:avLst>
                                <a:gd name="adj" fmla="val 10804774"/>
                              </a:avLst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1932936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3865872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5798808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7731743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9664680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11597616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13530551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15463487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b="1" dirty="0" smtClean="0"/>
                              <a:t>MSU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6021609" y="4126462"/>
                          <a:ext cx="1216421" cy="120829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square" numCol="1" rtlCol="0" anchor="ctr">
                            <a:prstTxWarp prst="textArchDown">
                              <a:avLst>
                                <a:gd name="adj" fmla="val 20806560"/>
                              </a:avLst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1932936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3865872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5798808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7731743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9664680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11597616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13530551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15463487" algn="l" defTabSz="3865872" rtl="0" eaLnBrk="1" latinLnBrk="0" hangingPunct="1">
                              <a:defRPr sz="7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b="1" dirty="0" smtClean="0"/>
                              <a:t>Forest Entomology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712E3" w:rsidRPr="002712E3" w:rsidRDefault="002712E3" w:rsidP="002712E3">
      <w:pPr>
        <w:jc w:val="center"/>
        <w:rPr>
          <w:rFonts w:ascii="Broadway" w:hAnsi="Broadway"/>
          <w:color w:val="970D0D"/>
          <w:sz w:val="36"/>
          <w:szCs w:val="36"/>
        </w:rPr>
      </w:pPr>
      <w:r w:rsidRPr="002712E3">
        <w:rPr>
          <w:rFonts w:ascii="Broadway" w:hAnsi="Broadway"/>
          <w:color w:val="970D0D"/>
          <w:sz w:val="36"/>
          <w:szCs w:val="36"/>
        </w:rPr>
        <w:t>Graduate Research Assistantships Available:</w:t>
      </w:r>
    </w:p>
    <w:p w:rsidR="00F84466" w:rsidRDefault="008842C0">
      <w:r>
        <w:t xml:space="preserve">Several M.S. and Ph.D. assistantships in forest entomology are available at the Department of Entomology </w:t>
      </w:r>
      <w:r w:rsidR="00E6637F">
        <w:t xml:space="preserve">and Plant Pathology </w:t>
      </w:r>
      <w:r>
        <w:t xml:space="preserve">at Mississippi State University.  Upcoming  research </w:t>
      </w:r>
      <w:r w:rsidR="00DD4304">
        <w:t xml:space="preserve">opportunities </w:t>
      </w:r>
      <w:r>
        <w:t>in the forest entomology lab are: 1)</w:t>
      </w:r>
      <w:r w:rsidR="00DD4304">
        <w:t xml:space="preserve"> Studying the ecological impacts and </w:t>
      </w:r>
      <w:proofErr w:type="spellStart"/>
      <w:r w:rsidR="00DD4304">
        <w:t>phylogeographic</w:t>
      </w:r>
      <w:proofErr w:type="spellEnd"/>
      <w:r w:rsidR="00DD4304">
        <w:t xml:space="preserve"> analysis of the newly introduced </w:t>
      </w:r>
      <w:proofErr w:type="spellStart"/>
      <w:r w:rsidR="00DD4304">
        <w:t>redbay</w:t>
      </w:r>
      <w:proofErr w:type="spellEnd"/>
      <w:r w:rsidR="00DD4304">
        <w:t xml:space="preserve"> ambrosia beetle in MS; 2) Utilizing remote sensing and GIS to model potential risk of European </w:t>
      </w:r>
      <w:proofErr w:type="spellStart"/>
      <w:r w:rsidR="00DD4304">
        <w:t>woodwasp</w:t>
      </w:r>
      <w:proofErr w:type="spellEnd"/>
      <w:r w:rsidR="00DD4304">
        <w:t xml:space="preserve"> in southern pines; 3) Utilizing remote sensing and GIS to detect forest change associated with laurel wilt disease; 4) Studying the low-population ecology, distribution, and behavior of southern pine beetle, </w:t>
      </w:r>
      <w:proofErr w:type="spellStart"/>
      <w:r w:rsidR="00DD4304">
        <w:t>ips</w:t>
      </w:r>
      <w:proofErr w:type="spellEnd"/>
      <w:r w:rsidR="003E2F0E">
        <w:t xml:space="preserve"> beetles, and their predators.  New students will be given considerable </w:t>
      </w:r>
      <w:r w:rsidR="00317DB9">
        <w:t xml:space="preserve">independence to develop their own research ideas and methods </w:t>
      </w:r>
      <w:r w:rsidR="004A636D">
        <w:t>to</w:t>
      </w:r>
      <w:r w:rsidR="00317DB9">
        <w:t xml:space="preserve"> suit their interests.</w:t>
      </w:r>
      <w:r w:rsidR="004A636D">
        <w:t xml:space="preserve">  Generous stipends and tuition waivers will be awarded to successful applicants.</w:t>
      </w:r>
    </w:p>
    <w:p w:rsidR="00DD4304" w:rsidRDefault="00DD4304">
      <w:r>
        <w:t>The forest entomology laboratory</w:t>
      </w:r>
      <w:r w:rsidR="00747A6A">
        <w:t xml:space="preserve"> at Mississippi State University has </w:t>
      </w:r>
      <w:r w:rsidR="00747A6A" w:rsidRPr="00BC1257">
        <w:rPr>
          <w:rFonts w:eastAsia="Times New Roman" w:cs="Times New Roman"/>
          <w:szCs w:val="24"/>
        </w:rPr>
        <w:t xml:space="preserve">four broad </w:t>
      </w:r>
      <w:r w:rsidR="00747A6A">
        <w:rPr>
          <w:rFonts w:eastAsia="Times New Roman" w:cs="Times New Roman"/>
          <w:szCs w:val="24"/>
        </w:rPr>
        <w:t>research</w:t>
      </w:r>
      <w:r w:rsidR="00747A6A" w:rsidRPr="00BC1257">
        <w:rPr>
          <w:rFonts w:eastAsia="Times New Roman" w:cs="Times New Roman"/>
          <w:szCs w:val="24"/>
        </w:rPr>
        <w:t xml:space="preserve"> goals: 1) broaden </w:t>
      </w:r>
      <w:r w:rsidR="00747A6A" w:rsidRPr="00BC1257">
        <w:rPr>
          <w:rFonts w:eastAsia="Times New Roman" w:cs="Times New Roman"/>
          <w:i/>
          <w:szCs w:val="24"/>
        </w:rPr>
        <w:t>applied</w:t>
      </w:r>
      <w:r w:rsidR="00747A6A" w:rsidRPr="00BC1257">
        <w:rPr>
          <w:rFonts w:eastAsia="Times New Roman" w:cs="Times New Roman"/>
          <w:szCs w:val="24"/>
        </w:rPr>
        <w:t xml:space="preserve"> scientific knowledge regarding the best integrated pest management of native (e.g. southern pine bark beetle guild) and introduced forest insect pests (e.g. </w:t>
      </w:r>
      <w:proofErr w:type="spellStart"/>
      <w:r w:rsidR="009D37B6">
        <w:rPr>
          <w:rFonts w:eastAsia="Times New Roman" w:cs="Times New Roman"/>
          <w:szCs w:val="24"/>
        </w:rPr>
        <w:t>redbay</w:t>
      </w:r>
      <w:proofErr w:type="spellEnd"/>
      <w:r w:rsidR="009D37B6">
        <w:rPr>
          <w:rFonts w:eastAsia="Times New Roman" w:cs="Times New Roman"/>
          <w:szCs w:val="24"/>
        </w:rPr>
        <w:t xml:space="preserve"> ambrosia beetle</w:t>
      </w:r>
      <w:r w:rsidR="00747A6A" w:rsidRPr="00BC1257">
        <w:rPr>
          <w:rFonts w:eastAsia="Times New Roman" w:cs="Times New Roman"/>
          <w:szCs w:val="24"/>
        </w:rPr>
        <w:t xml:space="preserve">); 2) expand </w:t>
      </w:r>
      <w:r w:rsidR="00747A6A" w:rsidRPr="00BC1257">
        <w:rPr>
          <w:rFonts w:eastAsia="Times New Roman" w:cs="Times New Roman"/>
          <w:i/>
          <w:szCs w:val="24"/>
        </w:rPr>
        <w:t>basic</w:t>
      </w:r>
      <w:r w:rsidR="00747A6A" w:rsidRPr="00BC1257">
        <w:rPr>
          <w:rFonts w:eastAsia="Times New Roman" w:cs="Times New Roman"/>
          <w:szCs w:val="24"/>
        </w:rPr>
        <w:t xml:space="preserve"> scientific knowledge about the biology, behavior, ecological roles, and biodiversity of non-pest forest insects; 3) broaden scientific understanding of the “disturbance ecology” of forest insects (both pests and non-pests) in response to various anthropogenic and environmental disturbances (e.g. climatic disturbances, habitat restoration, pollution, etc…); 4) develop and utilize Geographic Information Systems (GIS) and Remote Sensing techniques to enhance detection, monitoring, prediction, and ecological modeling of the forest insect systems.</w:t>
      </w:r>
      <w:r w:rsidR="00747A6A">
        <w:t xml:space="preserve"> </w:t>
      </w:r>
    </w:p>
    <w:p w:rsidR="002712E3" w:rsidRPr="00DA02E9" w:rsidRDefault="002712E3" w:rsidP="002712E3">
      <w:r>
        <w:t>Mississippi State University is the flagship research institution in the state of Mississippi, with long-standing strengths in Agriculture and Natural Resources.  Wi</w:t>
      </w:r>
      <w:r w:rsidRPr="00DA02E9">
        <w:t>th an enrollment representing all 82 Mississippi counties, 50 states and over 75 foreign countries, Mississippi State truly is an outstanding choice for tomorrow's scholars and leaders.</w:t>
      </w:r>
    </w:p>
    <w:p w:rsidR="00747A6A" w:rsidRDefault="003E2F0E">
      <w:r>
        <w:t xml:space="preserve">Interested individuals should contact Dr. John Riggins and provide a C.V./resume. </w:t>
      </w:r>
    </w:p>
    <w:p w:rsidR="00984BFF" w:rsidRDefault="00984BFF" w:rsidP="00984BFF">
      <w:pPr>
        <w:spacing w:after="0" w:line="240" w:lineRule="auto"/>
      </w:pPr>
      <w:r>
        <w:t>Dr. John Riggins</w:t>
      </w:r>
    </w:p>
    <w:p w:rsidR="00984BFF" w:rsidRDefault="00984BFF" w:rsidP="00984BFF">
      <w:pPr>
        <w:spacing w:after="0" w:line="240" w:lineRule="auto"/>
      </w:pPr>
      <w:r>
        <w:t xml:space="preserve">Assistant Professor of Forest Entomology </w:t>
      </w:r>
    </w:p>
    <w:p w:rsidR="00984BFF" w:rsidRDefault="00984BFF" w:rsidP="00984BFF">
      <w:pPr>
        <w:spacing w:after="0" w:line="240" w:lineRule="auto"/>
      </w:pPr>
      <w:r>
        <w:t>Department of Entomology and Plant Pathology</w:t>
      </w:r>
    </w:p>
    <w:p w:rsidR="00984BFF" w:rsidRDefault="00984BFF" w:rsidP="00984BFF">
      <w:pPr>
        <w:spacing w:after="0" w:line="240" w:lineRule="auto"/>
      </w:pPr>
      <w:r>
        <w:t>Mississippi State University</w:t>
      </w:r>
    </w:p>
    <w:p w:rsidR="00984BFF" w:rsidRDefault="00984BFF" w:rsidP="00984BFF">
      <w:pPr>
        <w:spacing w:after="0" w:line="240" w:lineRule="auto"/>
      </w:pPr>
      <w:r>
        <w:t>Box 9775</w:t>
      </w:r>
    </w:p>
    <w:p w:rsidR="00984BFF" w:rsidRDefault="00984BFF" w:rsidP="00984BFF">
      <w:pPr>
        <w:spacing w:after="0" w:line="240" w:lineRule="auto"/>
      </w:pPr>
      <w:r>
        <w:t>Mississippi State, MS 39762</w:t>
      </w:r>
    </w:p>
    <w:p w:rsidR="00984BFF" w:rsidRDefault="00984BFF" w:rsidP="00984BFF">
      <w:pPr>
        <w:spacing w:after="0" w:line="240" w:lineRule="auto"/>
      </w:pPr>
      <w:r>
        <w:t>jriggins@entomology.msstate.edu</w:t>
      </w:r>
    </w:p>
    <w:p w:rsidR="00984BFF" w:rsidRDefault="00984BFF" w:rsidP="002712E3">
      <w:pPr>
        <w:spacing w:after="0" w:line="240" w:lineRule="auto"/>
      </w:pPr>
      <w:r>
        <w:t>662-325-2984</w:t>
      </w:r>
    </w:p>
    <w:sectPr w:rsidR="00984BFF" w:rsidSect="005E47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E3" w:rsidRDefault="002712E3" w:rsidP="002712E3">
      <w:pPr>
        <w:spacing w:after="0" w:line="240" w:lineRule="auto"/>
      </w:pPr>
      <w:r>
        <w:separator/>
      </w:r>
    </w:p>
  </w:endnote>
  <w:endnote w:type="continuationSeparator" w:id="0">
    <w:p w:rsidR="002712E3" w:rsidRDefault="002712E3" w:rsidP="002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E3" w:rsidRDefault="002712E3" w:rsidP="002712E3">
      <w:pPr>
        <w:spacing w:after="0" w:line="240" w:lineRule="auto"/>
      </w:pPr>
      <w:r>
        <w:separator/>
      </w:r>
    </w:p>
  </w:footnote>
  <w:footnote w:type="continuationSeparator" w:id="0">
    <w:p w:rsidR="002712E3" w:rsidRDefault="002712E3" w:rsidP="002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E3" w:rsidRPr="002712E3" w:rsidRDefault="002712E3" w:rsidP="002712E3">
    <w:pPr>
      <w:pStyle w:val="Header"/>
    </w:pPr>
    <w:r w:rsidRPr="002712E3">
      <w:rPr>
        <w:noProof/>
      </w:rPr>
      <w:drawing>
        <wp:inline distT="0" distB="0" distL="0" distR="0">
          <wp:extent cx="1113692" cy="709246"/>
          <wp:effectExtent l="0" t="0" r="0" b="0"/>
          <wp:docPr id="6" name="Picture 5" descr="C:\Users\John\Desktop\2008_MSU_logo_web_vert_mont-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John\Desktop\2008_MSU_logo_web_vert_mont-2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80" cy="709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4466"/>
    <w:rsid w:val="002712E3"/>
    <w:rsid w:val="00287CF9"/>
    <w:rsid w:val="00317DB9"/>
    <w:rsid w:val="003E2F0E"/>
    <w:rsid w:val="004A636D"/>
    <w:rsid w:val="005E474C"/>
    <w:rsid w:val="00747A6A"/>
    <w:rsid w:val="007F288E"/>
    <w:rsid w:val="008842C0"/>
    <w:rsid w:val="00984BFF"/>
    <w:rsid w:val="009D37B6"/>
    <w:rsid w:val="00A53E4D"/>
    <w:rsid w:val="00C233B7"/>
    <w:rsid w:val="00C36A78"/>
    <w:rsid w:val="00C80329"/>
    <w:rsid w:val="00DD4304"/>
    <w:rsid w:val="00E6637F"/>
    <w:rsid w:val="00F84466"/>
    <w:rsid w:val="00FA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2E3"/>
  </w:style>
  <w:style w:type="paragraph" w:styleId="Footer">
    <w:name w:val="footer"/>
    <w:basedOn w:val="Normal"/>
    <w:link w:val="FooterChar"/>
    <w:uiPriority w:val="99"/>
    <w:semiHidden/>
    <w:unhideWhenUsed/>
    <w:rsid w:val="002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E3"/>
  </w:style>
  <w:style w:type="paragraph" w:styleId="BalloonText">
    <w:name w:val="Balloon Text"/>
    <w:basedOn w:val="Normal"/>
    <w:link w:val="BalloonTextChar"/>
    <w:uiPriority w:val="99"/>
    <w:semiHidden/>
    <w:unhideWhenUsed/>
    <w:rsid w:val="0027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2010-02-11T21:23:00Z</dcterms:created>
  <dcterms:modified xsi:type="dcterms:W3CDTF">2010-03-05T20:56:00Z</dcterms:modified>
</cp:coreProperties>
</file>